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rPr>
      </w:pPr>
    </w:p>
    <w:p w:rsidR="00FF55ED" w:rsidRDefault="00FF55ED" w:rsidP="00FF55ED">
      <w:pPr>
        <w:autoSpaceDE w:val="0"/>
        <w:autoSpaceDN w:val="0"/>
        <w:adjustRightInd w:val="0"/>
        <w:spacing w:line="360" w:lineRule="auto"/>
        <w:jc w:val="left"/>
        <w:rPr>
          <w:rFonts w:ascii="宋体" w:hAnsi="宋体" w:cs="宋体" w:hint="eastAsia"/>
          <w:szCs w:val="21"/>
        </w:rPr>
      </w:pPr>
    </w:p>
    <w:p w:rsidR="00FF55ED" w:rsidRDefault="00FF55ED" w:rsidP="00FF55ED">
      <w:pPr>
        <w:pStyle w:val="Default"/>
        <w:spacing w:line="360" w:lineRule="auto"/>
        <w:ind w:left="840"/>
        <w:jc w:val="center"/>
        <w:outlineLvl w:val="0"/>
        <w:rPr>
          <w:rFonts w:hAnsi="宋体" w:hint="eastAsia"/>
          <w:b/>
          <w:color w:val="auto"/>
          <w:sz w:val="36"/>
          <w:szCs w:val="36"/>
        </w:rPr>
      </w:pPr>
      <w:bookmarkStart w:id="0" w:name="_Toc22610"/>
      <w:r>
        <w:rPr>
          <w:rFonts w:hAnsi="宋体" w:hint="eastAsia"/>
          <w:b/>
          <w:color w:val="auto"/>
          <w:sz w:val="36"/>
          <w:szCs w:val="36"/>
        </w:rPr>
        <w:t>评标办法（综合评估法）</w:t>
      </w:r>
      <w:bookmarkEnd w:id="0"/>
    </w:p>
    <w:p w:rsidR="00FF55ED" w:rsidRDefault="00FF55ED" w:rsidP="00FF55ED">
      <w:pPr>
        <w:pStyle w:val="2"/>
        <w:spacing w:before="0" w:after="0" w:line="360" w:lineRule="auto"/>
        <w:rPr>
          <w:rFonts w:ascii="宋体" w:eastAsia="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Default="00FF55ED" w:rsidP="00FF55ED">
      <w:pPr>
        <w:spacing w:line="360" w:lineRule="auto"/>
        <w:rPr>
          <w:rFonts w:ascii="宋体" w:hAnsi="宋体" w:cs="宋体" w:hint="eastAsia"/>
        </w:rPr>
      </w:pPr>
    </w:p>
    <w:p w:rsidR="00FF55ED" w:rsidRPr="00FF55ED" w:rsidRDefault="00FF55ED" w:rsidP="00FF55ED">
      <w:pPr>
        <w:pStyle w:val="3"/>
        <w:spacing w:before="0" w:after="0" w:line="360" w:lineRule="auto"/>
        <w:jc w:val="center"/>
        <w:rPr>
          <w:rFonts w:ascii="方正小标宋简体" w:eastAsia="方正小标宋简体" w:hAnsi="宋体" w:cs="宋体" w:hint="eastAsia"/>
          <w:b w:val="0"/>
          <w:bCs w:val="0"/>
        </w:rPr>
      </w:pPr>
      <w:bookmarkStart w:id="1" w:name="_Toc218831741"/>
      <w:bookmarkStart w:id="2" w:name="_Toc351751494"/>
      <w:bookmarkStart w:id="3" w:name="_Toc376937199"/>
      <w:bookmarkStart w:id="4" w:name="_Toc27243"/>
      <w:bookmarkStart w:id="5" w:name="_Toc8394"/>
      <w:r w:rsidRPr="00FF55ED">
        <w:rPr>
          <w:rFonts w:ascii="方正小标宋简体" w:eastAsia="方正小标宋简体" w:hAnsi="宋体" w:cs="宋体" w:hint="eastAsia"/>
          <w:b w:val="0"/>
          <w:bCs w:val="0"/>
        </w:rPr>
        <w:lastRenderedPageBreak/>
        <w:t>评标办法前附表</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5"/>
        <w:gridCol w:w="1315"/>
        <w:gridCol w:w="2977"/>
        <w:gridCol w:w="4275"/>
      </w:tblGrid>
      <w:tr w:rsidR="00FF55ED" w:rsidRPr="00FF55ED" w:rsidTr="00FF55ED">
        <w:trPr>
          <w:trHeight w:val="626"/>
          <w:jc w:val="center"/>
        </w:trPr>
        <w:tc>
          <w:tcPr>
            <w:tcW w:w="2150" w:type="dxa"/>
            <w:gridSpan w:val="2"/>
            <w:vAlign w:val="center"/>
          </w:tcPr>
          <w:p w:rsidR="00FF55ED" w:rsidRPr="00FF55ED" w:rsidRDefault="00FF55ED" w:rsidP="00786034">
            <w:pPr>
              <w:autoSpaceDE w:val="0"/>
              <w:autoSpaceDN w:val="0"/>
              <w:adjustRightInd w:val="0"/>
              <w:spacing w:line="360" w:lineRule="auto"/>
              <w:ind w:right="97" w:firstLineChars="28" w:firstLine="91"/>
              <w:jc w:val="center"/>
              <w:rPr>
                <w:rFonts w:ascii="仿宋_GB2312" w:eastAsia="仿宋_GB2312" w:hAnsi="宋体" w:cs="宋体" w:hint="eastAsia"/>
                <w:b/>
                <w:spacing w:val="1"/>
                <w:kern w:val="0"/>
                <w:sz w:val="32"/>
                <w:szCs w:val="32"/>
              </w:rPr>
            </w:pPr>
            <w:r w:rsidRPr="00FF55ED">
              <w:rPr>
                <w:rFonts w:ascii="仿宋_GB2312" w:eastAsia="仿宋_GB2312" w:hAnsi="宋体" w:cs="宋体" w:hint="eastAsia"/>
                <w:b/>
                <w:spacing w:val="1"/>
                <w:kern w:val="0"/>
                <w:sz w:val="32"/>
                <w:szCs w:val="32"/>
              </w:rPr>
              <w:t>条款号</w:t>
            </w:r>
          </w:p>
        </w:tc>
        <w:tc>
          <w:tcPr>
            <w:tcW w:w="2977" w:type="dxa"/>
            <w:vAlign w:val="center"/>
          </w:tcPr>
          <w:p w:rsidR="00FF55ED" w:rsidRPr="00FF55ED" w:rsidRDefault="00FF55ED" w:rsidP="00786034">
            <w:pPr>
              <w:autoSpaceDE w:val="0"/>
              <w:autoSpaceDN w:val="0"/>
              <w:adjustRightInd w:val="0"/>
              <w:spacing w:line="360" w:lineRule="auto"/>
              <w:ind w:right="97" w:firstLineChars="28" w:firstLine="91"/>
              <w:jc w:val="center"/>
              <w:rPr>
                <w:rFonts w:ascii="仿宋_GB2312" w:eastAsia="仿宋_GB2312" w:hAnsi="宋体" w:cs="宋体" w:hint="eastAsia"/>
                <w:b/>
                <w:spacing w:val="1"/>
                <w:kern w:val="0"/>
                <w:sz w:val="32"/>
                <w:szCs w:val="32"/>
              </w:rPr>
            </w:pPr>
            <w:r w:rsidRPr="00FF55ED">
              <w:rPr>
                <w:rFonts w:ascii="仿宋_GB2312" w:eastAsia="仿宋_GB2312" w:hAnsi="宋体" w:cs="宋体" w:hint="eastAsia"/>
                <w:b/>
                <w:spacing w:val="1"/>
                <w:kern w:val="0"/>
                <w:sz w:val="32"/>
                <w:szCs w:val="32"/>
              </w:rPr>
              <w:t>评审因素</w:t>
            </w:r>
          </w:p>
        </w:tc>
        <w:tc>
          <w:tcPr>
            <w:tcW w:w="4275" w:type="dxa"/>
            <w:vAlign w:val="center"/>
          </w:tcPr>
          <w:p w:rsidR="00FF55ED" w:rsidRPr="00FF55ED" w:rsidRDefault="00FF55ED" w:rsidP="00786034">
            <w:pPr>
              <w:autoSpaceDE w:val="0"/>
              <w:autoSpaceDN w:val="0"/>
              <w:adjustRightInd w:val="0"/>
              <w:spacing w:line="360" w:lineRule="auto"/>
              <w:ind w:right="97" w:firstLineChars="28" w:firstLine="91"/>
              <w:jc w:val="center"/>
              <w:rPr>
                <w:rFonts w:ascii="仿宋_GB2312" w:eastAsia="仿宋_GB2312" w:hAnsi="宋体" w:cs="宋体" w:hint="eastAsia"/>
                <w:b/>
                <w:spacing w:val="1"/>
                <w:kern w:val="0"/>
                <w:sz w:val="32"/>
                <w:szCs w:val="32"/>
              </w:rPr>
            </w:pPr>
            <w:r w:rsidRPr="00FF55ED">
              <w:rPr>
                <w:rFonts w:ascii="仿宋_GB2312" w:eastAsia="仿宋_GB2312" w:hAnsi="宋体" w:cs="宋体" w:hint="eastAsia"/>
                <w:b/>
                <w:spacing w:val="1"/>
                <w:kern w:val="0"/>
                <w:sz w:val="32"/>
                <w:szCs w:val="32"/>
              </w:rPr>
              <w:t>评审标准</w:t>
            </w:r>
          </w:p>
        </w:tc>
      </w:tr>
      <w:tr w:rsidR="00FF55ED" w:rsidRPr="00FF55ED" w:rsidTr="00FF55ED">
        <w:trPr>
          <w:trHeight w:val="580"/>
          <w:jc w:val="center"/>
        </w:trPr>
        <w:tc>
          <w:tcPr>
            <w:tcW w:w="83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2.1.1</w:t>
            </w:r>
          </w:p>
        </w:tc>
        <w:tc>
          <w:tcPr>
            <w:tcW w:w="131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形式评审标准</w:t>
            </w: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投标人名称</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与营业执照一致</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投标函签字盖章</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86"/>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6"/>
                <w:kern w:val="0"/>
                <w:sz w:val="32"/>
                <w:szCs w:val="32"/>
              </w:rPr>
              <w:t>法定代表人或其委托代理人签字，并加盖单位章</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投标文件格式</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符合第六章“投标文件格式”的要求</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报价唯一</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只能有一个有效报价</w:t>
            </w:r>
          </w:p>
        </w:tc>
      </w:tr>
      <w:tr w:rsidR="00FF55ED" w:rsidRPr="00FF55ED" w:rsidTr="00FF55ED">
        <w:trPr>
          <w:trHeight w:val="580"/>
          <w:jc w:val="center"/>
        </w:trPr>
        <w:tc>
          <w:tcPr>
            <w:tcW w:w="83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2.1.2</w:t>
            </w:r>
          </w:p>
        </w:tc>
        <w:tc>
          <w:tcPr>
            <w:tcW w:w="131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资格评审标准</w:t>
            </w: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营业执照</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具备有效的营业执照</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信誉要求</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符合第二章“投标人须知”第 1.4.1项规定</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其他要求</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sz w:val="32"/>
                <w:szCs w:val="32"/>
              </w:rPr>
            </w:pPr>
            <w:r w:rsidRPr="00FF55ED">
              <w:rPr>
                <w:rFonts w:ascii="仿宋_GB2312" w:eastAsia="仿宋_GB2312" w:hAnsi="宋体" w:cs="宋体" w:hint="eastAsia"/>
                <w:spacing w:val="1"/>
                <w:kern w:val="0"/>
                <w:sz w:val="32"/>
                <w:szCs w:val="32"/>
              </w:rPr>
              <w:t>符合第二章“投标人须知”第 1.4.1项规定</w:t>
            </w:r>
          </w:p>
        </w:tc>
      </w:tr>
      <w:tr w:rsidR="00FF55ED" w:rsidRPr="00FF55ED" w:rsidTr="00FF55ED">
        <w:trPr>
          <w:trHeight w:val="580"/>
          <w:jc w:val="center"/>
        </w:trPr>
        <w:tc>
          <w:tcPr>
            <w:tcW w:w="83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2.1.3</w:t>
            </w:r>
          </w:p>
        </w:tc>
        <w:tc>
          <w:tcPr>
            <w:tcW w:w="1315" w:type="dxa"/>
            <w:vMerge w:val="restart"/>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响应性评审标准</w:t>
            </w:r>
          </w:p>
        </w:tc>
        <w:tc>
          <w:tcPr>
            <w:tcW w:w="2977"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投标内容</w:t>
            </w:r>
          </w:p>
        </w:tc>
        <w:tc>
          <w:tcPr>
            <w:tcW w:w="4275"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符合第二章“投标人须知”第 1.3.1 项规定</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服务期限</w:t>
            </w:r>
          </w:p>
        </w:tc>
        <w:tc>
          <w:tcPr>
            <w:tcW w:w="4275"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符合第二章“投标人须知”第 1.3.2 项规定</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投标有效期</w:t>
            </w:r>
          </w:p>
        </w:tc>
        <w:tc>
          <w:tcPr>
            <w:tcW w:w="4275"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符合第二章“投标人须知”第 3.3.1 项规定</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投标保证金</w:t>
            </w:r>
          </w:p>
        </w:tc>
        <w:tc>
          <w:tcPr>
            <w:tcW w:w="4275" w:type="dxa"/>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r w:rsidRPr="00FF55ED">
              <w:rPr>
                <w:rFonts w:ascii="仿宋_GB2312" w:eastAsia="仿宋_GB2312" w:hAnsi="宋体" w:cs="宋体" w:hint="eastAsia"/>
                <w:spacing w:val="1"/>
                <w:kern w:val="0"/>
                <w:sz w:val="32"/>
                <w:szCs w:val="32"/>
              </w:rPr>
              <w:t>符合第二章“投标人须知”第 3.4.1 项规定</w:t>
            </w:r>
          </w:p>
        </w:tc>
      </w:tr>
      <w:tr w:rsidR="00FF55ED" w:rsidRPr="00FF55ED" w:rsidTr="00FF55ED">
        <w:trPr>
          <w:trHeight w:val="580"/>
          <w:jc w:val="center"/>
        </w:trPr>
        <w:tc>
          <w:tcPr>
            <w:tcW w:w="83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1315" w:type="dxa"/>
            <w:vMerge/>
            <w:vAlign w:val="center"/>
          </w:tcPr>
          <w:p w:rsidR="00FF55ED" w:rsidRPr="00FF55ED" w:rsidRDefault="00FF55ED" w:rsidP="00786034">
            <w:pPr>
              <w:autoSpaceDE w:val="0"/>
              <w:autoSpaceDN w:val="0"/>
              <w:adjustRightInd w:val="0"/>
              <w:spacing w:line="360" w:lineRule="auto"/>
              <w:ind w:right="97" w:firstLineChars="28" w:firstLine="90"/>
              <w:jc w:val="center"/>
              <w:rPr>
                <w:rFonts w:ascii="仿宋_GB2312" w:eastAsia="仿宋_GB2312" w:hAnsi="宋体" w:cs="宋体" w:hint="eastAsia"/>
                <w:spacing w:val="1"/>
                <w:kern w:val="0"/>
                <w:sz w:val="32"/>
                <w:szCs w:val="32"/>
              </w:rPr>
            </w:pPr>
          </w:p>
        </w:tc>
        <w:tc>
          <w:tcPr>
            <w:tcW w:w="2977"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sz w:val="32"/>
                <w:szCs w:val="32"/>
              </w:rPr>
            </w:pPr>
            <w:r w:rsidRPr="00FF55ED">
              <w:rPr>
                <w:rFonts w:ascii="仿宋_GB2312" w:eastAsia="仿宋_GB2312" w:hAnsi="宋体" w:cs="宋体" w:hint="eastAsia"/>
                <w:spacing w:val="1"/>
                <w:kern w:val="0"/>
                <w:sz w:val="32"/>
                <w:szCs w:val="32"/>
              </w:rPr>
              <w:t>其他</w:t>
            </w:r>
          </w:p>
        </w:tc>
        <w:tc>
          <w:tcPr>
            <w:tcW w:w="4275" w:type="dxa"/>
            <w:vAlign w:val="center"/>
          </w:tcPr>
          <w:p w:rsidR="00FF55ED" w:rsidRPr="00FF55ED" w:rsidRDefault="00FF55ED" w:rsidP="00786034">
            <w:pPr>
              <w:autoSpaceDE w:val="0"/>
              <w:autoSpaceDN w:val="0"/>
              <w:adjustRightInd w:val="0"/>
              <w:spacing w:line="360" w:lineRule="auto"/>
              <w:ind w:right="96" w:firstLineChars="28" w:firstLine="90"/>
              <w:jc w:val="center"/>
              <w:rPr>
                <w:rFonts w:ascii="仿宋_GB2312" w:eastAsia="仿宋_GB2312" w:hAnsi="宋体" w:cs="宋体" w:hint="eastAsia"/>
                <w:spacing w:val="1"/>
                <w:sz w:val="32"/>
                <w:szCs w:val="32"/>
              </w:rPr>
            </w:pPr>
            <w:r w:rsidRPr="00FF55ED">
              <w:rPr>
                <w:rFonts w:ascii="仿宋_GB2312" w:eastAsia="仿宋_GB2312" w:hAnsi="宋体" w:cs="宋体" w:hint="eastAsia"/>
                <w:spacing w:val="1"/>
                <w:kern w:val="0"/>
                <w:sz w:val="32"/>
                <w:szCs w:val="32"/>
              </w:rPr>
              <w:t>符合招标文件其它实质性要</w:t>
            </w:r>
            <w:r w:rsidRPr="00FF55ED">
              <w:rPr>
                <w:rFonts w:ascii="仿宋_GB2312" w:eastAsia="仿宋_GB2312" w:hAnsi="宋体" w:cs="宋体" w:hint="eastAsia"/>
                <w:spacing w:val="1"/>
                <w:kern w:val="0"/>
                <w:sz w:val="32"/>
                <w:szCs w:val="32"/>
              </w:rPr>
              <w:lastRenderedPageBreak/>
              <w:t>求</w:t>
            </w:r>
          </w:p>
        </w:tc>
      </w:tr>
      <w:tr w:rsidR="00FF55ED" w:rsidRPr="00FF55ED" w:rsidTr="00FF55ED">
        <w:tblPrEx>
          <w:tblCellMar>
            <w:left w:w="108" w:type="dxa"/>
            <w:right w:w="108" w:type="dxa"/>
          </w:tblCellMar>
        </w:tblPrEx>
        <w:trPr>
          <w:trHeight w:val="1351"/>
          <w:jc w:val="center"/>
        </w:trPr>
        <w:tc>
          <w:tcPr>
            <w:tcW w:w="2150" w:type="dxa"/>
            <w:gridSpan w:val="2"/>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lastRenderedPageBreak/>
              <w:t>2.2.1分值构成</w:t>
            </w:r>
          </w:p>
        </w:tc>
        <w:tc>
          <w:tcPr>
            <w:tcW w:w="7252" w:type="dxa"/>
            <w:gridSpan w:val="2"/>
            <w:vAlign w:val="center"/>
          </w:tcPr>
          <w:p w:rsidR="00FF55ED" w:rsidRPr="00FF55ED" w:rsidRDefault="00FF55ED" w:rsidP="00786034">
            <w:pPr>
              <w:spacing w:line="360" w:lineRule="auto"/>
              <w:ind w:firstLineChars="100" w:firstLine="320"/>
              <w:rPr>
                <w:rFonts w:ascii="仿宋_GB2312" w:eastAsia="仿宋_GB2312" w:hAnsi="宋体" w:cs="宋体" w:hint="eastAsia"/>
                <w:sz w:val="32"/>
                <w:szCs w:val="32"/>
              </w:rPr>
            </w:pPr>
            <w:r w:rsidRPr="00FF55ED">
              <w:rPr>
                <w:rFonts w:ascii="仿宋_GB2312" w:eastAsia="仿宋_GB2312" w:hAnsi="宋体" w:cs="宋体" w:hint="eastAsia"/>
                <w:sz w:val="32"/>
                <w:szCs w:val="32"/>
              </w:rPr>
              <w:t>投标报价（30分）；</w:t>
            </w:r>
          </w:p>
          <w:p w:rsidR="00FF55ED" w:rsidRPr="00FF55ED" w:rsidRDefault="00FF55ED" w:rsidP="00786034">
            <w:pPr>
              <w:spacing w:line="360" w:lineRule="auto"/>
              <w:ind w:firstLineChars="100" w:firstLine="320"/>
              <w:rPr>
                <w:rFonts w:ascii="仿宋_GB2312" w:eastAsia="仿宋_GB2312" w:hAnsi="宋体" w:cs="宋体" w:hint="eastAsia"/>
                <w:sz w:val="32"/>
                <w:szCs w:val="32"/>
              </w:rPr>
            </w:pPr>
            <w:r w:rsidRPr="00FF55ED">
              <w:rPr>
                <w:rFonts w:ascii="仿宋_GB2312" w:eastAsia="仿宋_GB2312" w:hAnsi="宋体" w:cs="宋体" w:hint="eastAsia"/>
                <w:sz w:val="32"/>
                <w:szCs w:val="32"/>
              </w:rPr>
              <w:t>企业实力（20分）；</w:t>
            </w:r>
          </w:p>
          <w:p w:rsidR="00FF55ED" w:rsidRPr="00FF55ED" w:rsidRDefault="00FF55ED" w:rsidP="00786034">
            <w:pPr>
              <w:spacing w:line="360" w:lineRule="auto"/>
              <w:ind w:firstLineChars="100" w:firstLine="320"/>
              <w:rPr>
                <w:rFonts w:ascii="仿宋_GB2312" w:eastAsia="仿宋_GB2312" w:hAnsi="宋体" w:cs="宋体" w:hint="eastAsia"/>
                <w:sz w:val="32"/>
                <w:szCs w:val="32"/>
              </w:rPr>
            </w:pPr>
            <w:r w:rsidRPr="00FF55ED">
              <w:rPr>
                <w:rFonts w:ascii="仿宋_GB2312" w:eastAsia="仿宋_GB2312" w:hAnsi="宋体" w:cs="宋体" w:hint="eastAsia"/>
                <w:sz w:val="32"/>
                <w:szCs w:val="32"/>
              </w:rPr>
              <w:t>技术部分（35分）；</w:t>
            </w:r>
          </w:p>
          <w:p w:rsidR="00FF55ED" w:rsidRPr="00FF55ED" w:rsidRDefault="00FF55ED" w:rsidP="00786034">
            <w:pPr>
              <w:spacing w:line="360" w:lineRule="auto"/>
              <w:ind w:firstLineChars="100" w:firstLine="320"/>
              <w:rPr>
                <w:rFonts w:ascii="仿宋_GB2312" w:eastAsia="仿宋_GB2312" w:hAnsi="宋体" w:cs="宋体" w:hint="eastAsia"/>
                <w:sz w:val="32"/>
                <w:szCs w:val="32"/>
              </w:rPr>
            </w:pPr>
            <w:r w:rsidRPr="00FF55ED">
              <w:rPr>
                <w:rFonts w:ascii="仿宋_GB2312" w:eastAsia="仿宋_GB2312" w:hAnsi="宋体" w:cs="宋体" w:hint="eastAsia"/>
                <w:sz w:val="32"/>
                <w:szCs w:val="32"/>
              </w:rPr>
              <w:t>服务承诺（15分）。</w:t>
            </w:r>
          </w:p>
        </w:tc>
      </w:tr>
      <w:tr w:rsidR="00FF55ED" w:rsidRPr="00FF55ED" w:rsidTr="00FF55ED">
        <w:tblPrEx>
          <w:tblCellMar>
            <w:left w:w="108" w:type="dxa"/>
            <w:right w:w="108" w:type="dxa"/>
          </w:tblCellMar>
        </w:tblPrEx>
        <w:trPr>
          <w:trHeight w:val="342"/>
          <w:jc w:val="center"/>
        </w:trPr>
        <w:tc>
          <w:tcPr>
            <w:tcW w:w="2150" w:type="dxa"/>
            <w:gridSpan w:val="2"/>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2.2.2（1）报价分（30分）</w:t>
            </w: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日租金（含200公里）报价分（10分）</w:t>
            </w:r>
          </w:p>
        </w:tc>
        <w:tc>
          <w:tcPr>
            <w:tcW w:w="4275" w:type="dxa"/>
            <w:vAlign w:val="center"/>
          </w:tcPr>
          <w:p w:rsidR="00FF55ED" w:rsidRPr="00FF55ED" w:rsidRDefault="00FF55ED" w:rsidP="00786034">
            <w:pPr>
              <w:pStyle w:val="Default"/>
              <w:spacing w:line="360" w:lineRule="auto"/>
              <w:jc w:val="both"/>
              <w:rPr>
                <w:rFonts w:ascii="仿宋_GB2312" w:eastAsia="仿宋_GB2312" w:hAnsi="宋体" w:hint="eastAsia"/>
                <w:color w:val="auto"/>
                <w:kern w:val="2"/>
                <w:sz w:val="32"/>
                <w:szCs w:val="32"/>
              </w:rPr>
            </w:pPr>
            <w:r w:rsidRPr="00FF55ED">
              <w:rPr>
                <w:rFonts w:ascii="仿宋_GB2312" w:eastAsia="仿宋_GB2312" w:hAnsi="宋体" w:hint="eastAsia"/>
                <w:color w:val="auto"/>
                <w:kern w:val="2"/>
                <w:sz w:val="32"/>
                <w:szCs w:val="32"/>
              </w:rPr>
              <w:t>以车型为计算单位，在租车项目中费用最低的车型数量最多者得10分，第二名得8分，第三名得6分，依次类推，扣完为止不出现负分，费用最低车型数量相等的得分相同。（如奥迪A6L车型所有日租金价格，A企业报价1000元，B企业报价1200元，则A企业在该车型中胜出，如A企业在所有投标单位中有12种车型租金价格最低，排名第一，B企业在所有投标单位中有10种车型租金价格最低，排名第二，则A企业在日租金中得分10，B企业得分8，依次类推）</w:t>
            </w:r>
          </w:p>
        </w:tc>
      </w:tr>
      <w:tr w:rsidR="00FF55ED" w:rsidRPr="00FF55ED" w:rsidTr="00FF55ED">
        <w:tblPrEx>
          <w:tblCellMar>
            <w:left w:w="108" w:type="dxa"/>
            <w:right w:w="108" w:type="dxa"/>
          </w:tblCellMar>
        </w:tblPrEx>
        <w:trPr>
          <w:trHeight w:val="342"/>
          <w:jc w:val="center"/>
        </w:trPr>
        <w:tc>
          <w:tcPr>
            <w:tcW w:w="2150" w:type="dxa"/>
            <w:gridSpan w:val="2"/>
            <w:vAlign w:val="center"/>
          </w:tcPr>
          <w:p w:rsidR="00FF55ED" w:rsidRPr="00FF55ED" w:rsidRDefault="00FF55ED" w:rsidP="00786034">
            <w:pPr>
              <w:spacing w:line="360" w:lineRule="auto"/>
              <w:rPr>
                <w:rFonts w:ascii="仿宋_GB2312" w:eastAsia="仿宋_GB2312" w:hAnsi="宋体" w:cs="宋体" w:hint="eastAsia"/>
                <w:sz w:val="32"/>
                <w:szCs w:val="32"/>
              </w:rPr>
            </w:pP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半日租金（含200公里）报价分（10分）</w:t>
            </w:r>
          </w:p>
        </w:tc>
        <w:tc>
          <w:tcPr>
            <w:tcW w:w="4275" w:type="dxa"/>
            <w:vAlign w:val="center"/>
          </w:tcPr>
          <w:p w:rsidR="00FF55ED" w:rsidRPr="00FF55ED" w:rsidRDefault="00FF55ED" w:rsidP="00786034">
            <w:pPr>
              <w:pStyle w:val="Default"/>
              <w:spacing w:line="360" w:lineRule="auto"/>
              <w:jc w:val="both"/>
              <w:rPr>
                <w:rFonts w:ascii="仿宋_GB2312" w:eastAsia="仿宋_GB2312" w:hAnsi="宋体" w:hint="eastAsia"/>
                <w:color w:val="auto"/>
                <w:kern w:val="2"/>
                <w:sz w:val="32"/>
                <w:szCs w:val="32"/>
              </w:rPr>
            </w:pPr>
            <w:r w:rsidRPr="00FF55ED">
              <w:rPr>
                <w:rFonts w:ascii="仿宋_GB2312" w:eastAsia="仿宋_GB2312" w:hAnsi="宋体" w:hint="eastAsia"/>
                <w:color w:val="auto"/>
                <w:kern w:val="2"/>
                <w:sz w:val="32"/>
                <w:szCs w:val="32"/>
              </w:rPr>
              <w:t>以车型为计算单位，在租车项目中费用最低的车型数量最</w:t>
            </w:r>
            <w:r w:rsidRPr="00FF55ED">
              <w:rPr>
                <w:rFonts w:ascii="仿宋_GB2312" w:eastAsia="仿宋_GB2312" w:hAnsi="宋体" w:hint="eastAsia"/>
                <w:color w:val="auto"/>
                <w:kern w:val="2"/>
                <w:sz w:val="32"/>
                <w:szCs w:val="32"/>
              </w:rPr>
              <w:lastRenderedPageBreak/>
              <w:t>多者得10分，第二名得8分，第三名得6分，依次类推，扣完为止不出现负分，费用最低车型数量相等的得分相同。（如奥迪A6L车型所有日租金价格，A企业报价1000元，B企业报价1200元，则A企业在该车型中胜出，如A企业在所有投标单位中有12种车型租金价格最低，排名第一，B企业在所有投标单位中有10种车型租金价格最低，排名第二，则A企业在日租金中得分10，B企业得分8，依次类推）</w:t>
            </w:r>
          </w:p>
        </w:tc>
      </w:tr>
      <w:tr w:rsidR="00FF55ED" w:rsidRPr="00FF55ED" w:rsidTr="00FF55ED">
        <w:tblPrEx>
          <w:tblCellMar>
            <w:left w:w="108" w:type="dxa"/>
            <w:right w:w="108" w:type="dxa"/>
          </w:tblCellMar>
        </w:tblPrEx>
        <w:trPr>
          <w:trHeight w:val="342"/>
          <w:jc w:val="center"/>
        </w:trPr>
        <w:tc>
          <w:tcPr>
            <w:tcW w:w="2150" w:type="dxa"/>
            <w:gridSpan w:val="2"/>
            <w:vAlign w:val="center"/>
          </w:tcPr>
          <w:p w:rsidR="00FF55ED" w:rsidRPr="00FF55ED" w:rsidRDefault="00FF55ED" w:rsidP="00786034">
            <w:pPr>
              <w:spacing w:line="360" w:lineRule="auto"/>
              <w:rPr>
                <w:rFonts w:ascii="仿宋_GB2312" w:eastAsia="仿宋_GB2312" w:hAnsi="宋体" w:cs="宋体" w:hint="eastAsia"/>
                <w:sz w:val="32"/>
                <w:szCs w:val="32"/>
              </w:rPr>
            </w:pP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超过200公里报价分（10分）</w:t>
            </w:r>
          </w:p>
        </w:tc>
        <w:tc>
          <w:tcPr>
            <w:tcW w:w="4275" w:type="dxa"/>
            <w:vAlign w:val="center"/>
          </w:tcPr>
          <w:p w:rsidR="00FF55ED" w:rsidRPr="00FF55ED" w:rsidRDefault="00FF55ED" w:rsidP="00786034">
            <w:pPr>
              <w:pStyle w:val="Default"/>
              <w:spacing w:line="360" w:lineRule="auto"/>
              <w:jc w:val="both"/>
              <w:rPr>
                <w:rFonts w:ascii="仿宋_GB2312" w:eastAsia="仿宋_GB2312" w:hAnsi="宋体" w:hint="eastAsia"/>
                <w:color w:val="auto"/>
                <w:kern w:val="2"/>
                <w:sz w:val="32"/>
                <w:szCs w:val="32"/>
              </w:rPr>
            </w:pPr>
            <w:r w:rsidRPr="00FF55ED">
              <w:rPr>
                <w:rFonts w:ascii="仿宋_GB2312" w:eastAsia="仿宋_GB2312" w:hAnsi="宋体" w:hint="eastAsia"/>
                <w:color w:val="auto"/>
                <w:kern w:val="2"/>
                <w:sz w:val="32"/>
                <w:szCs w:val="32"/>
              </w:rPr>
              <w:t>以车型为计算单位，在租车项目中费用最低的车型数量最多者得10分，第二名得8分，第三名得6分，依次类推，扣完为止不出现负分，费用最低车型数量相等的得分相同。（如奥迪A6L车型所有日租金价格，A企业报价1000元，B企业报价1200元，则A企业在</w:t>
            </w:r>
            <w:r w:rsidRPr="00FF55ED">
              <w:rPr>
                <w:rFonts w:ascii="仿宋_GB2312" w:eastAsia="仿宋_GB2312" w:hAnsi="宋体" w:hint="eastAsia"/>
                <w:color w:val="auto"/>
                <w:kern w:val="2"/>
                <w:sz w:val="32"/>
                <w:szCs w:val="32"/>
              </w:rPr>
              <w:lastRenderedPageBreak/>
              <w:t>该车型中胜出，如A企业在所有投标单位中有12种车型租金价格最低，排名第一，B企业在所有投标单位中有10种车型租金价格最低，排名第二，则A企业在日租金中得分10，B企业得分8，依次类推）</w:t>
            </w:r>
          </w:p>
        </w:tc>
      </w:tr>
      <w:tr w:rsidR="00FF55ED" w:rsidRPr="00FF55ED" w:rsidTr="00FF55ED">
        <w:tblPrEx>
          <w:tblCellMar>
            <w:left w:w="108" w:type="dxa"/>
            <w:right w:w="108" w:type="dxa"/>
          </w:tblCellMar>
        </w:tblPrEx>
        <w:trPr>
          <w:trHeight w:val="1225"/>
          <w:jc w:val="center"/>
        </w:trPr>
        <w:tc>
          <w:tcPr>
            <w:tcW w:w="2150" w:type="dxa"/>
            <w:gridSpan w:val="2"/>
            <w:vMerge w:val="restart"/>
            <w:vAlign w:val="center"/>
          </w:tcPr>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lastRenderedPageBreak/>
              <w:t>2.2.2（2）</w:t>
            </w:r>
          </w:p>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企业实力 </w:t>
            </w:r>
          </w:p>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（20分）</w:t>
            </w:r>
          </w:p>
        </w:tc>
        <w:tc>
          <w:tcPr>
            <w:tcW w:w="2977" w:type="dxa"/>
            <w:vAlign w:val="center"/>
          </w:tcPr>
          <w:p w:rsidR="00FF55ED" w:rsidRPr="00FF55ED" w:rsidRDefault="00FF55ED" w:rsidP="00786034">
            <w:pPr>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sz w:val="32"/>
                <w:szCs w:val="32"/>
              </w:rPr>
              <w:t>企业业绩（0-12分）</w:t>
            </w:r>
          </w:p>
        </w:tc>
        <w:tc>
          <w:tcPr>
            <w:tcW w:w="4275" w:type="dxa"/>
            <w:vAlign w:val="center"/>
          </w:tcPr>
          <w:p w:rsidR="00FF55ED" w:rsidRPr="00FF55ED" w:rsidRDefault="00FD0267" w:rsidP="00786034">
            <w:pPr>
              <w:widowControl/>
              <w:snapToGrid w:val="0"/>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201</w:t>
            </w:r>
            <w:r>
              <w:rPr>
                <w:rFonts w:ascii="仿宋_GB2312" w:eastAsia="仿宋_GB2312" w:hAnsi="宋体" w:cs="宋体"/>
                <w:sz w:val="32"/>
                <w:szCs w:val="32"/>
              </w:rPr>
              <w:t>6</w:t>
            </w:r>
            <w:bookmarkStart w:id="6" w:name="_GoBack"/>
            <w:bookmarkEnd w:id="6"/>
            <w:r w:rsidR="00FF55ED" w:rsidRPr="00FF55ED">
              <w:rPr>
                <w:rFonts w:ascii="仿宋_GB2312" w:eastAsia="仿宋_GB2312" w:hAnsi="宋体" w:cs="宋体" w:hint="eastAsia"/>
                <w:sz w:val="32"/>
                <w:szCs w:val="32"/>
              </w:rPr>
              <w:t>年以来车辆租赁服务类项目类似业绩，每提供一个得3分，最高12分；（提供合同复印件并加盖公章，原件在评标时备验）。</w:t>
            </w:r>
          </w:p>
        </w:tc>
      </w:tr>
      <w:tr w:rsidR="00FF55ED" w:rsidRPr="00FF55ED" w:rsidTr="00FF55ED">
        <w:tblPrEx>
          <w:tblCellMar>
            <w:left w:w="108" w:type="dxa"/>
            <w:right w:w="108" w:type="dxa"/>
          </w:tblCellMar>
        </w:tblPrEx>
        <w:trPr>
          <w:trHeight w:val="855"/>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投标人获好评情况</w:t>
            </w:r>
            <w:r w:rsidRPr="00FF55ED">
              <w:rPr>
                <w:rFonts w:ascii="仿宋_GB2312" w:eastAsia="仿宋_GB2312" w:hAnsi="宋体" w:cs="宋体" w:hint="eastAsia"/>
                <w:sz w:val="32"/>
                <w:szCs w:val="32"/>
              </w:rPr>
              <w:t>（0-8分）</w:t>
            </w:r>
          </w:p>
        </w:tc>
        <w:tc>
          <w:tcPr>
            <w:tcW w:w="4275" w:type="dxa"/>
            <w:vAlign w:val="center"/>
          </w:tcPr>
          <w:p w:rsidR="00FF55ED" w:rsidRPr="00FF55ED" w:rsidRDefault="00FF55ED" w:rsidP="00786034">
            <w:pPr>
              <w:widowControl/>
              <w:snapToGrid w:val="0"/>
              <w:spacing w:line="360" w:lineRule="auto"/>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有获以往项目业主好评的每项目得2分，最多得8分（应提供好评证明）</w:t>
            </w:r>
          </w:p>
        </w:tc>
      </w:tr>
      <w:tr w:rsidR="00FF55ED" w:rsidRPr="00FF55ED" w:rsidTr="00FF55ED">
        <w:tblPrEx>
          <w:tblCellMar>
            <w:left w:w="108" w:type="dxa"/>
            <w:right w:w="108" w:type="dxa"/>
          </w:tblCellMar>
        </w:tblPrEx>
        <w:trPr>
          <w:trHeight w:val="598"/>
          <w:jc w:val="center"/>
        </w:trPr>
        <w:tc>
          <w:tcPr>
            <w:tcW w:w="2150" w:type="dxa"/>
            <w:gridSpan w:val="2"/>
            <w:vMerge w:val="restart"/>
            <w:vAlign w:val="center"/>
          </w:tcPr>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2.2.2（3）</w:t>
            </w:r>
          </w:p>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技术部分</w:t>
            </w:r>
          </w:p>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（35分）</w:t>
            </w:r>
          </w:p>
        </w:tc>
        <w:tc>
          <w:tcPr>
            <w:tcW w:w="2977" w:type="dxa"/>
            <w:vAlign w:val="center"/>
          </w:tcPr>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1.服务内容与质量的详细说明</w:t>
            </w:r>
            <w:r w:rsidRPr="00FF55ED">
              <w:rPr>
                <w:rFonts w:ascii="仿宋_GB2312" w:eastAsia="仿宋_GB2312" w:hAnsi="宋体" w:cs="宋体" w:hint="eastAsia"/>
                <w:sz w:val="32"/>
                <w:szCs w:val="32"/>
              </w:rPr>
              <w:t>（0-5分）</w:t>
            </w:r>
          </w:p>
        </w:tc>
        <w:tc>
          <w:tcPr>
            <w:tcW w:w="4275" w:type="dxa"/>
            <w:vAlign w:val="center"/>
          </w:tcPr>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根据投标人的服务承诺与质量对比后在1-5分内赋分</w:t>
            </w:r>
          </w:p>
        </w:tc>
      </w:tr>
      <w:tr w:rsidR="00FF55ED" w:rsidRPr="00FF55ED" w:rsidTr="00FF55ED">
        <w:tblPrEx>
          <w:tblCellMar>
            <w:left w:w="108" w:type="dxa"/>
            <w:right w:w="108" w:type="dxa"/>
          </w:tblCellMar>
        </w:tblPrEx>
        <w:trPr>
          <w:trHeight w:val="792"/>
          <w:jc w:val="center"/>
        </w:trPr>
        <w:tc>
          <w:tcPr>
            <w:tcW w:w="2150" w:type="dxa"/>
            <w:gridSpan w:val="2"/>
            <w:vMerge/>
            <w:vAlign w:val="center"/>
          </w:tcPr>
          <w:p w:rsidR="00FF55ED" w:rsidRPr="00FF55ED" w:rsidRDefault="00FF55ED" w:rsidP="00786034">
            <w:pPr>
              <w:spacing w:line="360" w:lineRule="auto"/>
              <w:rPr>
                <w:rFonts w:ascii="仿宋_GB2312" w:eastAsia="仿宋_GB2312" w:hAnsi="宋体" w:cs="宋体" w:hint="eastAsia"/>
                <w:sz w:val="32"/>
                <w:szCs w:val="32"/>
              </w:rPr>
            </w:pPr>
          </w:p>
        </w:tc>
        <w:tc>
          <w:tcPr>
            <w:tcW w:w="2977" w:type="dxa"/>
            <w:vAlign w:val="center"/>
          </w:tcPr>
          <w:p w:rsidR="00FF55ED" w:rsidRPr="00FF55ED" w:rsidRDefault="00FF55ED" w:rsidP="00786034">
            <w:pPr>
              <w:widowControl/>
              <w:spacing w:line="360" w:lineRule="auto"/>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2.针对该项目的汽车租赁服务团队情况</w:t>
            </w:r>
            <w:r w:rsidRPr="00FF55ED">
              <w:rPr>
                <w:rFonts w:ascii="仿宋_GB2312" w:eastAsia="仿宋_GB2312" w:hAnsi="宋体" w:cs="宋体" w:hint="eastAsia"/>
                <w:sz w:val="32"/>
                <w:szCs w:val="32"/>
              </w:rPr>
              <w:t>（0-5分）</w:t>
            </w:r>
          </w:p>
        </w:tc>
        <w:tc>
          <w:tcPr>
            <w:tcW w:w="4275"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根据投标人</w:t>
            </w:r>
            <w:r w:rsidRPr="00FF55ED">
              <w:rPr>
                <w:rFonts w:ascii="仿宋_GB2312" w:eastAsia="仿宋_GB2312" w:hAnsi="宋体" w:cs="宋体" w:hint="eastAsia"/>
                <w:kern w:val="0"/>
                <w:sz w:val="32"/>
                <w:szCs w:val="32"/>
              </w:rPr>
              <w:t>针对该项目的汽车租赁服务团队配备情况在1-5分内赋分。</w:t>
            </w:r>
          </w:p>
        </w:tc>
      </w:tr>
      <w:tr w:rsidR="00FF55ED" w:rsidRPr="00FF55ED" w:rsidTr="00FF55ED">
        <w:tblPrEx>
          <w:tblCellMar>
            <w:left w:w="108" w:type="dxa"/>
            <w:right w:w="108" w:type="dxa"/>
          </w:tblCellMar>
        </w:tblPrEx>
        <w:trPr>
          <w:trHeight w:val="624"/>
          <w:jc w:val="center"/>
        </w:trPr>
        <w:tc>
          <w:tcPr>
            <w:tcW w:w="2150" w:type="dxa"/>
            <w:gridSpan w:val="2"/>
            <w:vMerge/>
            <w:vAlign w:val="center"/>
          </w:tcPr>
          <w:p w:rsidR="00FF55ED" w:rsidRPr="00FF55ED" w:rsidRDefault="00FF55ED" w:rsidP="00786034">
            <w:pPr>
              <w:spacing w:line="360" w:lineRule="auto"/>
              <w:rPr>
                <w:rFonts w:ascii="仿宋_GB2312" w:eastAsia="仿宋_GB2312" w:hAnsi="宋体" w:cs="宋体" w:hint="eastAsia"/>
                <w:sz w:val="32"/>
                <w:szCs w:val="32"/>
              </w:rPr>
            </w:pPr>
          </w:p>
        </w:tc>
        <w:tc>
          <w:tcPr>
            <w:tcW w:w="2977" w:type="dxa"/>
            <w:vAlign w:val="center"/>
          </w:tcPr>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3.人员管理制度</w:t>
            </w:r>
            <w:r w:rsidRPr="00FF55ED">
              <w:rPr>
                <w:rFonts w:ascii="仿宋_GB2312" w:eastAsia="仿宋_GB2312" w:hAnsi="宋体" w:cs="宋体" w:hint="eastAsia"/>
                <w:sz w:val="32"/>
                <w:szCs w:val="32"/>
              </w:rPr>
              <w:t>（0-5分）</w:t>
            </w:r>
          </w:p>
        </w:tc>
        <w:tc>
          <w:tcPr>
            <w:tcW w:w="4275" w:type="dxa"/>
            <w:vAlign w:val="center"/>
          </w:tcPr>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制度完善严谨规范得3-5分，制度基本完善、严谨、满足项目管理要求得0-2分。</w:t>
            </w:r>
          </w:p>
        </w:tc>
      </w:tr>
      <w:tr w:rsidR="00FF55ED" w:rsidRPr="00FF55ED" w:rsidTr="00FF55ED">
        <w:tblPrEx>
          <w:tblCellMar>
            <w:left w:w="108" w:type="dxa"/>
            <w:right w:w="108" w:type="dxa"/>
          </w:tblCellMar>
        </w:tblPrEx>
        <w:trPr>
          <w:trHeight w:val="807"/>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widowControl/>
              <w:numPr>
                <w:ilvl w:val="0"/>
                <w:numId w:val="1"/>
              </w:numPr>
              <w:spacing w:line="360" w:lineRule="auto"/>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服务计划和实施方案</w:t>
            </w:r>
          </w:p>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sz w:val="32"/>
                <w:szCs w:val="32"/>
              </w:rPr>
              <w:t>（10分）</w:t>
            </w:r>
          </w:p>
        </w:tc>
        <w:tc>
          <w:tcPr>
            <w:tcW w:w="4275" w:type="dxa"/>
            <w:vAlign w:val="center"/>
          </w:tcPr>
          <w:p w:rsidR="00FF55ED" w:rsidRPr="00FF55ED" w:rsidRDefault="00FF55ED" w:rsidP="00786034">
            <w:pPr>
              <w:widowControl/>
              <w:spacing w:line="360" w:lineRule="auto"/>
              <w:jc w:val="left"/>
              <w:rPr>
                <w:rFonts w:ascii="仿宋_GB2312" w:eastAsia="仿宋_GB2312" w:hAnsi="宋体" w:cs="宋体" w:hint="eastAsia"/>
                <w:sz w:val="32"/>
                <w:szCs w:val="32"/>
              </w:rPr>
            </w:pPr>
            <w:r w:rsidRPr="00FF55ED">
              <w:rPr>
                <w:rFonts w:ascii="仿宋_GB2312" w:eastAsia="仿宋_GB2312" w:hAnsi="宋体" w:cs="宋体" w:hint="eastAsia"/>
                <w:kern w:val="0"/>
                <w:sz w:val="32"/>
                <w:szCs w:val="32"/>
              </w:rPr>
              <w:t>根据投标人针对本项目服务计划和实施方案对比后在0-10分内赋分。</w:t>
            </w:r>
          </w:p>
        </w:tc>
      </w:tr>
      <w:tr w:rsidR="00FF55ED" w:rsidRPr="00FF55ED" w:rsidTr="00FF55ED">
        <w:tblPrEx>
          <w:tblCellMar>
            <w:left w:w="108" w:type="dxa"/>
            <w:right w:w="108" w:type="dxa"/>
          </w:tblCellMar>
        </w:tblPrEx>
        <w:trPr>
          <w:trHeight w:val="807"/>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widowControl/>
              <w:spacing w:line="360" w:lineRule="auto"/>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5.拟投入的运营车辆情况</w:t>
            </w:r>
            <w:r w:rsidRPr="00FF55ED">
              <w:rPr>
                <w:rFonts w:ascii="仿宋_GB2312" w:eastAsia="仿宋_GB2312" w:hAnsi="宋体" w:cs="宋体" w:hint="eastAsia"/>
                <w:sz w:val="32"/>
                <w:szCs w:val="32"/>
              </w:rPr>
              <w:t>（0-5分）</w:t>
            </w:r>
          </w:p>
        </w:tc>
        <w:tc>
          <w:tcPr>
            <w:tcW w:w="4275" w:type="dxa"/>
            <w:vAlign w:val="center"/>
          </w:tcPr>
          <w:p w:rsidR="00FF55ED" w:rsidRPr="00FF55ED" w:rsidRDefault="00FF55ED" w:rsidP="00786034">
            <w:pPr>
              <w:spacing w:line="360" w:lineRule="auto"/>
              <w:rPr>
                <w:rFonts w:ascii="仿宋_GB2312" w:eastAsia="仿宋_GB2312" w:hAnsi="宋体" w:cs="宋体" w:hint="eastAsia"/>
                <w:kern w:val="0"/>
                <w:sz w:val="32"/>
                <w:szCs w:val="32"/>
              </w:rPr>
            </w:pPr>
            <w:r w:rsidRPr="00FF55ED">
              <w:rPr>
                <w:rFonts w:ascii="仿宋_GB2312" w:eastAsia="仿宋_GB2312" w:hAnsi="宋体" w:cs="宋体" w:hint="eastAsia"/>
                <w:sz w:val="32"/>
                <w:szCs w:val="32"/>
              </w:rPr>
              <w:t>根据投标人投入运营的车型品牌情况、投入运营的车况对比后在0-5分内赋分。</w:t>
            </w:r>
          </w:p>
        </w:tc>
      </w:tr>
      <w:tr w:rsidR="00FF55ED" w:rsidRPr="00FF55ED" w:rsidTr="00FF55ED">
        <w:tblPrEx>
          <w:tblCellMar>
            <w:left w:w="108" w:type="dxa"/>
            <w:right w:w="108" w:type="dxa"/>
          </w:tblCellMar>
        </w:tblPrEx>
        <w:trPr>
          <w:trHeight w:val="572"/>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widowControl/>
              <w:spacing w:line="360" w:lineRule="auto"/>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6.安全管理制度</w:t>
            </w:r>
            <w:r w:rsidRPr="00FF55ED">
              <w:rPr>
                <w:rFonts w:ascii="仿宋_GB2312" w:eastAsia="仿宋_GB2312" w:hAnsi="宋体" w:cs="宋体" w:hint="eastAsia"/>
                <w:sz w:val="32"/>
                <w:szCs w:val="32"/>
              </w:rPr>
              <w:t>（0-5分）</w:t>
            </w:r>
          </w:p>
        </w:tc>
        <w:tc>
          <w:tcPr>
            <w:tcW w:w="4275" w:type="dxa"/>
            <w:vAlign w:val="center"/>
          </w:tcPr>
          <w:p w:rsidR="00FF55ED" w:rsidRPr="00FF55ED" w:rsidRDefault="00FF55ED" w:rsidP="00786034">
            <w:pPr>
              <w:widowControl/>
              <w:spacing w:line="360" w:lineRule="auto"/>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根据投标人的安全管理制度对比后在在0-5分内赋分。</w:t>
            </w:r>
          </w:p>
        </w:tc>
      </w:tr>
      <w:tr w:rsidR="00FF55ED" w:rsidRPr="00FF55ED" w:rsidTr="00FF55ED">
        <w:tblPrEx>
          <w:tblCellMar>
            <w:left w:w="108" w:type="dxa"/>
            <w:right w:w="108" w:type="dxa"/>
          </w:tblCellMar>
        </w:tblPrEx>
        <w:trPr>
          <w:trHeight w:val="542"/>
          <w:jc w:val="center"/>
        </w:trPr>
        <w:tc>
          <w:tcPr>
            <w:tcW w:w="2150" w:type="dxa"/>
            <w:gridSpan w:val="2"/>
            <w:vMerge w:val="restart"/>
            <w:vAlign w:val="center"/>
          </w:tcPr>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2.2.2（4）</w:t>
            </w:r>
          </w:p>
          <w:p w:rsidR="00FF55ED" w:rsidRPr="00FF55ED" w:rsidRDefault="00FF55ED" w:rsidP="00786034">
            <w:pPr>
              <w:spacing w:line="360" w:lineRule="auto"/>
              <w:jc w:val="center"/>
              <w:rPr>
                <w:rFonts w:ascii="仿宋_GB2312" w:eastAsia="仿宋_GB2312" w:hAnsi="宋体" w:cs="宋体" w:hint="eastAsia"/>
                <w:sz w:val="32"/>
                <w:szCs w:val="32"/>
              </w:rPr>
            </w:pPr>
            <w:r w:rsidRPr="00FF55ED">
              <w:rPr>
                <w:rFonts w:ascii="仿宋_GB2312" w:eastAsia="仿宋_GB2312" w:hAnsi="宋体" w:cs="宋体" w:hint="eastAsia"/>
                <w:sz w:val="32"/>
                <w:szCs w:val="32"/>
              </w:rPr>
              <w:t>服务承诺    （15分）</w:t>
            </w: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服务承诺（0-5分）</w:t>
            </w:r>
          </w:p>
        </w:tc>
        <w:tc>
          <w:tcPr>
            <w:tcW w:w="4275"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服务承诺比较（0-5分）</w:t>
            </w:r>
          </w:p>
        </w:tc>
      </w:tr>
      <w:tr w:rsidR="00FF55ED" w:rsidRPr="00FF55ED" w:rsidTr="00FF55ED">
        <w:tblPrEx>
          <w:tblCellMar>
            <w:left w:w="108" w:type="dxa"/>
            <w:right w:w="108" w:type="dxa"/>
          </w:tblCellMar>
        </w:tblPrEx>
        <w:trPr>
          <w:trHeight w:val="557"/>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其他实质性优惠（0-5分）</w:t>
            </w:r>
          </w:p>
        </w:tc>
        <w:tc>
          <w:tcPr>
            <w:tcW w:w="4275"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其他实质性优惠（0-5分）</w:t>
            </w:r>
          </w:p>
        </w:tc>
      </w:tr>
      <w:tr w:rsidR="00FF55ED" w:rsidRPr="00FF55ED" w:rsidTr="00FF55ED">
        <w:tblPrEx>
          <w:tblCellMar>
            <w:left w:w="108" w:type="dxa"/>
            <w:right w:w="108" w:type="dxa"/>
          </w:tblCellMar>
        </w:tblPrEx>
        <w:trPr>
          <w:trHeight w:val="807"/>
          <w:jc w:val="center"/>
        </w:trPr>
        <w:tc>
          <w:tcPr>
            <w:tcW w:w="2150" w:type="dxa"/>
            <w:gridSpan w:val="2"/>
            <w:vMerge/>
            <w:vAlign w:val="center"/>
          </w:tcPr>
          <w:p w:rsidR="00FF55ED" w:rsidRPr="00FF55ED" w:rsidRDefault="00FF55ED" w:rsidP="00786034">
            <w:pPr>
              <w:spacing w:line="360" w:lineRule="auto"/>
              <w:jc w:val="center"/>
              <w:rPr>
                <w:rFonts w:ascii="仿宋_GB2312" w:eastAsia="仿宋_GB2312" w:hAnsi="宋体" w:cs="宋体" w:hint="eastAsia"/>
                <w:sz w:val="32"/>
                <w:szCs w:val="32"/>
              </w:rPr>
            </w:pPr>
          </w:p>
        </w:tc>
        <w:tc>
          <w:tcPr>
            <w:tcW w:w="2977"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应急处理（0-5分）</w:t>
            </w:r>
          </w:p>
        </w:tc>
        <w:tc>
          <w:tcPr>
            <w:tcW w:w="4275" w:type="dxa"/>
            <w:vAlign w:val="center"/>
          </w:tcPr>
          <w:p w:rsidR="00FF55ED" w:rsidRPr="00FF55ED" w:rsidRDefault="00FF55ED" w:rsidP="00786034">
            <w:pPr>
              <w:spacing w:line="360" w:lineRule="auto"/>
              <w:rPr>
                <w:rFonts w:ascii="仿宋_GB2312" w:eastAsia="仿宋_GB2312" w:hAnsi="宋体" w:cs="宋体" w:hint="eastAsia"/>
                <w:sz w:val="32"/>
                <w:szCs w:val="32"/>
              </w:rPr>
            </w:pPr>
            <w:r w:rsidRPr="00FF55ED">
              <w:rPr>
                <w:rFonts w:ascii="仿宋_GB2312" w:eastAsia="仿宋_GB2312" w:hAnsi="宋体" w:cs="宋体" w:hint="eastAsia"/>
                <w:sz w:val="32"/>
                <w:szCs w:val="32"/>
              </w:rPr>
              <w:t>根据投标人服务应急预案内容的完整性和全面性、迅速性（0-5分）</w:t>
            </w:r>
          </w:p>
        </w:tc>
      </w:tr>
    </w:tbl>
    <w:p w:rsidR="00FF55ED" w:rsidRPr="00FF55ED" w:rsidRDefault="00FF55ED" w:rsidP="00FF55ED">
      <w:pPr>
        <w:pStyle w:val="2"/>
        <w:spacing w:before="0" w:after="0" w:line="360" w:lineRule="auto"/>
        <w:rPr>
          <w:rFonts w:ascii="仿宋_GB2312" w:eastAsia="仿宋_GB2312" w:hAnsi="宋体" w:cs="宋体" w:hint="eastAsia"/>
        </w:rPr>
        <w:sectPr w:rsidR="00FF55ED" w:rsidRPr="00FF55ED">
          <w:pgSz w:w="11906" w:h="16838"/>
          <w:pgMar w:top="1134" w:right="1134" w:bottom="1134" w:left="1134" w:header="851" w:footer="992" w:gutter="0"/>
          <w:pgBorders>
            <w:top w:val="none" w:sz="0" w:space="1" w:color="auto"/>
            <w:left w:val="none" w:sz="0" w:space="4" w:color="auto"/>
            <w:bottom w:val="none" w:sz="0" w:space="1" w:color="auto"/>
            <w:right w:val="none" w:sz="0" w:space="4" w:color="auto"/>
          </w:pgBorders>
          <w:cols w:space="720"/>
          <w:docGrid w:linePitch="313" w:charSpace="1738"/>
        </w:sectPr>
      </w:pPr>
      <w:bookmarkStart w:id="7" w:name="_Toc3631"/>
      <w:bookmarkStart w:id="8" w:name="_Toc295670171"/>
      <w:bookmarkStart w:id="9" w:name="_Toc268854521"/>
      <w:bookmarkStart w:id="10" w:name="_Toc30770"/>
    </w:p>
    <w:p w:rsidR="00FF55ED" w:rsidRPr="00FF55ED" w:rsidRDefault="00FF55ED" w:rsidP="00FF55ED">
      <w:pPr>
        <w:pStyle w:val="2"/>
        <w:spacing w:before="0" w:after="0" w:line="360" w:lineRule="auto"/>
        <w:rPr>
          <w:rFonts w:ascii="仿宋_GB2312" w:eastAsia="仿宋_GB2312" w:hAnsi="宋体" w:cs="宋体" w:hint="eastAsia"/>
        </w:rPr>
      </w:pPr>
      <w:bookmarkStart w:id="11" w:name="_Toc29528"/>
      <w:r w:rsidRPr="00FF55ED">
        <w:rPr>
          <w:rFonts w:ascii="仿宋_GB2312" w:eastAsia="仿宋_GB2312" w:hAnsi="宋体" w:cs="宋体" w:hint="eastAsia"/>
        </w:rPr>
        <w:lastRenderedPageBreak/>
        <w:t>1. 评标方法</w:t>
      </w:r>
      <w:bookmarkEnd w:id="7"/>
      <w:bookmarkEnd w:id="8"/>
      <w:bookmarkEnd w:id="9"/>
      <w:bookmarkEnd w:id="10"/>
      <w:bookmarkEnd w:id="11"/>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本次评标采用综合评分法。评标委员会对满足招标文件实质性要求的投标文件，按照规定的评分标准进行量化打分。最后按各投标的综合得分由高到低排序，若综合得分相同，则投标报价低的投标排名靠前。</w:t>
      </w:r>
    </w:p>
    <w:p w:rsidR="00FF55ED" w:rsidRPr="00FF55ED" w:rsidRDefault="00FF55ED" w:rsidP="00FF55ED">
      <w:pPr>
        <w:pStyle w:val="2"/>
        <w:spacing w:before="0" w:after="0" w:line="360" w:lineRule="auto"/>
        <w:rPr>
          <w:rFonts w:ascii="仿宋_GB2312" w:eastAsia="仿宋_GB2312" w:hAnsi="宋体" w:cs="宋体" w:hint="eastAsia"/>
        </w:rPr>
      </w:pPr>
      <w:bookmarkStart w:id="12" w:name="_Toc25992"/>
      <w:bookmarkStart w:id="13" w:name="_Toc8988"/>
      <w:bookmarkStart w:id="14" w:name="_Toc295670172"/>
      <w:bookmarkStart w:id="15" w:name="_Toc256154198"/>
      <w:bookmarkStart w:id="16" w:name="_Toc21058"/>
      <w:r w:rsidRPr="00FF55ED">
        <w:rPr>
          <w:rFonts w:ascii="仿宋_GB2312" w:eastAsia="仿宋_GB2312" w:hAnsi="宋体" w:cs="宋体" w:hint="eastAsia"/>
        </w:rPr>
        <w:t>2. 评审标准</w:t>
      </w:r>
      <w:bookmarkEnd w:id="12"/>
      <w:bookmarkEnd w:id="13"/>
      <w:bookmarkEnd w:id="14"/>
      <w:bookmarkEnd w:id="15"/>
      <w:bookmarkEnd w:id="16"/>
    </w:p>
    <w:p w:rsidR="00FF55ED" w:rsidRPr="00FF55ED" w:rsidRDefault="00FF55ED" w:rsidP="00FF55ED">
      <w:pPr>
        <w:pStyle w:val="3"/>
        <w:spacing w:before="0" w:after="0" w:line="360" w:lineRule="auto"/>
        <w:ind w:firstLine="482"/>
        <w:rPr>
          <w:rFonts w:ascii="仿宋_GB2312" w:eastAsia="仿宋_GB2312" w:hAnsi="宋体" w:cs="宋体" w:hint="eastAsia"/>
          <w:b w:val="0"/>
        </w:rPr>
      </w:pPr>
      <w:bookmarkStart w:id="17" w:name="_Toc28469"/>
      <w:bookmarkStart w:id="18" w:name="_Toc13571"/>
      <w:bookmarkStart w:id="19" w:name="_Toc3037"/>
      <w:bookmarkStart w:id="20" w:name="_Toc295670173"/>
      <w:bookmarkStart w:id="21" w:name="_Toc256154199"/>
      <w:bookmarkStart w:id="22" w:name="_Toc16255"/>
      <w:bookmarkStart w:id="23" w:name="_Toc25205"/>
      <w:r w:rsidRPr="00FF55ED">
        <w:rPr>
          <w:rFonts w:ascii="仿宋_GB2312" w:eastAsia="仿宋_GB2312" w:hAnsi="宋体" w:cs="宋体" w:hint="eastAsia"/>
          <w:b w:val="0"/>
        </w:rPr>
        <w:t>2.1 初步评审标准</w:t>
      </w:r>
      <w:bookmarkEnd w:id="17"/>
      <w:bookmarkEnd w:id="18"/>
      <w:bookmarkEnd w:id="19"/>
      <w:bookmarkEnd w:id="20"/>
      <w:bookmarkEnd w:id="21"/>
      <w:bookmarkEnd w:id="22"/>
      <w:bookmarkEnd w:id="23"/>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2.1.1 形式评审标准：见评标办法前附表。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2.1.2 资格评审标准：见评标办法前附表。</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2.1.3 响应性评审标准：见评标办法前附表。 </w:t>
      </w:r>
    </w:p>
    <w:p w:rsidR="00FF55ED" w:rsidRPr="00FF55ED" w:rsidRDefault="00FF55ED" w:rsidP="00FF55ED">
      <w:pPr>
        <w:spacing w:line="360" w:lineRule="auto"/>
        <w:ind w:firstLineChars="100" w:firstLine="320"/>
        <w:rPr>
          <w:rFonts w:ascii="仿宋_GB2312" w:eastAsia="仿宋_GB2312" w:hAnsi="宋体" w:cs="宋体" w:hint="eastAsia"/>
          <w:sz w:val="32"/>
          <w:szCs w:val="32"/>
        </w:rPr>
      </w:pPr>
      <w:bookmarkStart w:id="24" w:name="_Toc6733"/>
      <w:bookmarkStart w:id="25" w:name="_Toc5357"/>
      <w:bookmarkStart w:id="26" w:name="_Toc5973"/>
      <w:bookmarkStart w:id="27" w:name="_Toc256154201"/>
      <w:bookmarkStart w:id="28" w:name="_Toc295670175"/>
      <w:r w:rsidRPr="00FF55ED">
        <w:rPr>
          <w:rFonts w:ascii="仿宋_GB2312" w:eastAsia="仿宋_GB2312" w:hAnsi="宋体" w:cs="宋体" w:hint="eastAsia"/>
          <w:sz w:val="32"/>
          <w:szCs w:val="32"/>
        </w:rPr>
        <w:t>2.2 分值构成与评分标准</w:t>
      </w:r>
      <w:bookmarkEnd w:id="24"/>
      <w:bookmarkEnd w:id="25"/>
      <w:bookmarkEnd w:id="26"/>
      <w:r w:rsidRPr="00FF55ED">
        <w:rPr>
          <w:rFonts w:ascii="仿宋_GB2312" w:eastAsia="仿宋_GB2312" w:hAnsi="宋体" w:cs="宋体" w:hint="eastAsia"/>
          <w:sz w:val="32"/>
          <w:szCs w:val="32"/>
        </w:rPr>
        <w:t>；</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2.2.1 分值构成</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（1）投标报价部分：见评标办法前附表；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（2）企业实力：见评标办法前附表；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（3）技术部分：见评标办法前附表。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（4）服务承诺：见评标办法前附表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2.2.2 评分标准</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bookmarkStart w:id="29" w:name="_Toc23885"/>
      <w:bookmarkStart w:id="30" w:name="_Toc17752"/>
      <w:r w:rsidRPr="00FF55ED">
        <w:rPr>
          <w:rFonts w:ascii="仿宋_GB2312" w:eastAsia="仿宋_GB2312" w:hAnsi="宋体" w:cs="宋体" w:hint="eastAsia"/>
          <w:kern w:val="0"/>
          <w:sz w:val="32"/>
          <w:szCs w:val="32"/>
        </w:rPr>
        <w:t>（1）投标报价部分：见评标办法前附表；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（2）企业实力：见评标办法前附表；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（3）技术部分：见评标办法前附表。</w:t>
      </w:r>
    </w:p>
    <w:p w:rsidR="00FF55ED" w:rsidRPr="00FF55ED" w:rsidRDefault="00FF55ED" w:rsidP="00FF55ED">
      <w:pPr>
        <w:autoSpaceDE w:val="0"/>
        <w:autoSpaceDN w:val="0"/>
        <w:adjustRightInd w:val="0"/>
        <w:spacing w:line="360" w:lineRule="auto"/>
        <w:ind w:firstLineChars="257" w:firstLine="822"/>
        <w:jc w:val="left"/>
        <w:rPr>
          <w:rFonts w:ascii="仿宋_GB2312" w:eastAsia="仿宋_GB2312" w:hAnsi="宋体" w:cs="宋体" w:hint="eastAsia"/>
          <w:kern w:val="0"/>
          <w:sz w:val="32"/>
          <w:szCs w:val="32"/>
        </w:rPr>
      </w:pPr>
      <w:r w:rsidRPr="00FF55ED">
        <w:rPr>
          <w:rFonts w:ascii="仿宋_GB2312" w:eastAsia="仿宋_GB2312" w:hAnsi="宋体" w:cs="宋体" w:hint="eastAsia"/>
          <w:kern w:val="0"/>
          <w:sz w:val="32"/>
          <w:szCs w:val="32"/>
        </w:rPr>
        <w:t>（4）服务承诺：见评标办法前附表</w:t>
      </w:r>
    </w:p>
    <w:p w:rsidR="00FF55ED" w:rsidRPr="00FF55ED" w:rsidRDefault="00FF55ED" w:rsidP="00FF55ED">
      <w:pPr>
        <w:pStyle w:val="2"/>
        <w:spacing w:before="0" w:after="0" w:line="360" w:lineRule="auto"/>
        <w:rPr>
          <w:rFonts w:ascii="仿宋_GB2312" w:eastAsia="仿宋_GB2312" w:hAnsi="宋体" w:cs="宋体" w:hint="eastAsia"/>
        </w:rPr>
      </w:pPr>
      <w:bookmarkStart w:id="31" w:name="_Toc22773"/>
      <w:r w:rsidRPr="00FF55ED">
        <w:rPr>
          <w:rFonts w:ascii="仿宋_GB2312" w:eastAsia="仿宋_GB2312" w:hAnsi="宋体" w:cs="宋体" w:hint="eastAsia"/>
        </w:rPr>
        <w:lastRenderedPageBreak/>
        <w:t>3. 评标程序</w:t>
      </w:r>
      <w:bookmarkEnd w:id="27"/>
      <w:bookmarkEnd w:id="28"/>
      <w:bookmarkEnd w:id="29"/>
      <w:bookmarkEnd w:id="30"/>
      <w:bookmarkEnd w:id="31"/>
    </w:p>
    <w:p w:rsidR="00FF55ED" w:rsidRPr="00FF55ED" w:rsidRDefault="00FF55ED" w:rsidP="00FF55ED">
      <w:pPr>
        <w:pStyle w:val="3"/>
        <w:spacing w:before="0" w:after="0" w:line="360" w:lineRule="auto"/>
        <w:ind w:firstLine="482"/>
        <w:rPr>
          <w:rFonts w:ascii="仿宋_GB2312" w:eastAsia="仿宋_GB2312" w:hAnsi="宋体" w:cs="宋体" w:hint="eastAsia"/>
          <w:b w:val="0"/>
        </w:rPr>
      </w:pPr>
      <w:bookmarkStart w:id="32" w:name="_Toc256154202"/>
      <w:bookmarkStart w:id="33" w:name="_Toc295670176"/>
      <w:bookmarkStart w:id="34" w:name="_Toc28626"/>
      <w:bookmarkStart w:id="35" w:name="_Toc4673"/>
      <w:bookmarkStart w:id="36" w:name="_Toc10398"/>
      <w:bookmarkStart w:id="37" w:name="_Toc6026"/>
      <w:bookmarkStart w:id="38" w:name="_Toc13916"/>
      <w:r w:rsidRPr="00FF55ED">
        <w:rPr>
          <w:rFonts w:ascii="仿宋_GB2312" w:eastAsia="仿宋_GB2312" w:hAnsi="宋体" w:cs="宋体" w:hint="eastAsia"/>
          <w:b w:val="0"/>
        </w:rPr>
        <w:t>3.1 初步评审</w:t>
      </w:r>
      <w:bookmarkEnd w:id="32"/>
      <w:bookmarkEnd w:id="33"/>
      <w:bookmarkEnd w:id="34"/>
      <w:bookmarkEnd w:id="35"/>
      <w:bookmarkEnd w:id="36"/>
      <w:bookmarkEnd w:id="37"/>
      <w:bookmarkEnd w:id="38"/>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3.1.1 评标委员会依据本章第 2.1.1 项、第 2.1.2 项、第 2.1.3 项规定的评审标准对投标文件进行初步评审。有一项不符合评审内容所列条件的，作废标处理。</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3.1.2投标报价有算术错误的，评标委员会按以下原则对投标报价进行修正，修正的价格经投标人书面确认后具有约束力。投标人不接受修正价格的，其投标作废标处理，投标保证金将不予退还。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（1）投标文件中的大写金额与小写金额不一致的，以大写金额为准；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（2）总价金额与依据单价计算出的结果不一致的，以单价金额为准修正总价，如果单价有明显的小数点位置差错，应以标出的合价为准，同时对单价予以修正；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（3）当各细目的合价累计不等于总价时，应以各细目合价累计数为准，修正总价。</w:t>
      </w:r>
    </w:p>
    <w:p w:rsidR="00FF55ED" w:rsidRPr="00FF55ED" w:rsidRDefault="00FF55ED" w:rsidP="00FF55ED">
      <w:pPr>
        <w:pStyle w:val="3"/>
        <w:spacing w:before="0" w:after="0" w:line="360" w:lineRule="auto"/>
        <w:ind w:firstLine="482"/>
        <w:rPr>
          <w:rFonts w:ascii="仿宋_GB2312" w:eastAsia="仿宋_GB2312" w:hAnsi="宋体" w:cs="宋体" w:hint="eastAsia"/>
          <w:b w:val="0"/>
        </w:rPr>
      </w:pPr>
      <w:bookmarkStart w:id="39" w:name="_Toc16388"/>
      <w:bookmarkStart w:id="40" w:name="_Toc26713"/>
      <w:bookmarkStart w:id="41" w:name="_Toc179632624"/>
      <w:bookmarkStart w:id="42" w:name="_Toc152045606"/>
      <w:bookmarkStart w:id="43" w:name="_Toc144974573"/>
      <w:bookmarkStart w:id="44" w:name="_Toc152042384"/>
      <w:bookmarkStart w:id="45" w:name="_Toc13786"/>
      <w:bookmarkStart w:id="46" w:name="_Toc7016"/>
      <w:bookmarkStart w:id="47" w:name="_Toc13990"/>
      <w:bookmarkStart w:id="48" w:name="_Toc30941"/>
      <w:bookmarkStart w:id="49" w:name="_Toc256154204"/>
      <w:bookmarkStart w:id="50" w:name="_Toc295670178"/>
      <w:bookmarkStart w:id="51" w:name="_Toc7510"/>
      <w:r w:rsidRPr="00FF55ED">
        <w:rPr>
          <w:rFonts w:ascii="仿宋_GB2312" w:eastAsia="仿宋_GB2312" w:hAnsi="宋体" w:cs="宋体" w:hint="eastAsia"/>
          <w:b w:val="0"/>
        </w:rPr>
        <w:t>3.2 详细评审</w:t>
      </w:r>
      <w:bookmarkEnd w:id="39"/>
      <w:bookmarkEnd w:id="40"/>
      <w:bookmarkEnd w:id="41"/>
      <w:bookmarkEnd w:id="42"/>
      <w:bookmarkEnd w:id="43"/>
      <w:bookmarkEnd w:id="44"/>
      <w:bookmarkEnd w:id="45"/>
      <w:bookmarkEnd w:id="46"/>
      <w:bookmarkEnd w:id="47"/>
      <w:bookmarkEnd w:id="48"/>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3.2.1 评标委员会按本章第2.2款规定的量化因素和分值进行打分，并计算出综合评估得分。</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（1）按本章第2.2.2（1）目规定的评审因素和分值对投标报价部分计算出得分A；</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（2）按本章第2.2.2（2）目规定的评审因素和分值对</w:t>
      </w:r>
      <w:r w:rsidRPr="00FF55ED">
        <w:rPr>
          <w:rFonts w:ascii="仿宋_GB2312" w:eastAsia="仿宋_GB2312" w:hAnsi="宋体" w:cs="宋体" w:hint="eastAsia"/>
          <w:kern w:val="0"/>
          <w:sz w:val="32"/>
          <w:szCs w:val="32"/>
        </w:rPr>
        <w:lastRenderedPageBreak/>
        <w:t>企业实力</w:t>
      </w:r>
      <w:r w:rsidRPr="00FF55ED">
        <w:rPr>
          <w:rFonts w:ascii="仿宋_GB2312" w:eastAsia="仿宋_GB2312" w:hAnsi="宋体" w:cs="宋体" w:hint="eastAsia"/>
          <w:sz w:val="32"/>
          <w:szCs w:val="32"/>
        </w:rPr>
        <w:t>计算出得分B；</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（3）按本章第2.2.2（3）目规定的评审因素和分值对</w:t>
      </w:r>
      <w:r w:rsidRPr="00FF55ED">
        <w:rPr>
          <w:rFonts w:ascii="仿宋_GB2312" w:eastAsia="仿宋_GB2312" w:hAnsi="宋体" w:cs="宋体" w:hint="eastAsia"/>
          <w:kern w:val="0"/>
          <w:sz w:val="32"/>
          <w:szCs w:val="32"/>
        </w:rPr>
        <w:t>技术部分</w:t>
      </w:r>
      <w:r w:rsidRPr="00FF55ED">
        <w:rPr>
          <w:rFonts w:ascii="仿宋_GB2312" w:eastAsia="仿宋_GB2312" w:hAnsi="宋体" w:cs="宋体" w:hint="eastAsia"/>
          <w:sz w:val="32"/>
          <w:szCs w:val="32"/>
        </w:rPr>
        <w:t>计算出得分C；</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（4）按本章第2.2.2（4）目规定的评审因素和分值对</w:t>
      </w:r>
      <w:r w:rsidRPr="00FF55ED">
        <w:rPr>
          <w:rFonts w:ascii="仿宋_GB2312" w:eastAsia="仿宋_GB2312" w:hAnsi="宋体" w:cs="宋体" w:hint="eastAsia"/>
          <w:kern w:val="0"/>
          <w:sz w:val="32"/>
          <w:szCs w:val="32"/>
        </w:rPr>
        <w:t>服务承诺</w:t>
      </w:r>
      <w:r w:rsidRPr="00FF55ED">
        <w:rPr>
          <w:rFonts w:ascii="仿宋_GB2312" w:eastAsia="仿宋_GB2312" w:hAnsi="宋体" w:cs="宋体" w:hint="eastAsia"/>
          <w:sz w:val="32"/>
          <w:szCs w:val="32"/>
        </w:rPr>
        <w:t>计算出得分D；</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3.2.2 评分分值计算保留小数点后两位，小数点后第三位“四舍五入”。</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3.2.3 投标人得分=A+B+C+D。</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FF55ED" w:rsidRPr="00FF55ED" w:rsidRDefault="00FF55ED" w:rsidP="00FF55ED">
      <w:pPr>
        <w:pStyle w:val="3"/>
        <w:spacing w:before="0" w:after="0" w:line="360" w:lineRule="auto"/>
        <w:ind w:firstLine="482"/>
        <w:rPr>
          <w:rFonts w:ascii="仿宋_GB2312" w:eastAsia="仿宋_GB2312" w:hAnsi="宋体" w:cs="宋体" w:hint="eastAsia"/>
          <w:b w:val="0"/>
        </w:rPr>
      </w:pPr>
      <w:bookmarkStart w:id="52" w:name="_Toc32158"/>
      <w:bookmarkStart w:id="53" w:name="_Toc32684"/>
      <w:bookmarkStart w:id="54" w:name="_Toc5499"/>
      <w:bookmarkStart w:id="55" w:name="_Toc2279"/>
      <w:r w:rsidRPr="00FF55ED">
        <w:rPr>
          <w:rFonts w:ascii="仿宋_GB2312" w:eastAsia="仿宋_GB2312" w:hAnsi="宋体" w:cs="宋体" w:hint="eastAsia"/>
          <w:b w:val="0"/>
        </w:rPr>
        <w:t>3.3 投标文件的澄清和补正</w:t>
      </w:r>
      <w:bookmarkEnd w:id="49"/>
      <w:bookmarkEnd w:id="50"/>
      <w:bookmarkEnd w:id="51"/>
      <w:bookmarkEnd w:id="52"/>
      <w:bookmarkEnd w:id="53"/>
      <w:bookmarkEnd w:id="54"/>
      <w:bookmarkEnd w:id="55"/>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3.3.1 在评标过程中，评标委员会可以书面形式要求投标对所提交投标文件中不明确的内容进行书面澄清或说明，或者对细微偏差进行补正。评标委员会不接受投标主动提出的澄清、说明或补正。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3.3.2 澄清、说明和补正不得改变投标文件的实质性内容（算术性错误修正的除外）。投标的书面澄清、说明和补正属于投标文件的组成部分。 </w:t>
      </w:r>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lastRenderedPageBreak/>
        <w:t xml:space="preserve">3.3.3 评标委员会对投标提交的澄清、说明或补正有疑问的，可以要求投标进一步澄清、说明或补正，直至满足评标委员会的要求。 </w:t>
      </w:r>
    </w:p>
    <w:p w:rsidR="00FF55ED" w:rsidRPr="00FF55ED" w:rsidRDefault="00FF55ED" w:rsidP="00FF55ED">
      <w:pPr>
        <w:pStyle w:val="3"/>
        <w:spacing w:before="0" w:after="0" w:line="360" w:lineRule="auto"/>
        <w:ind w:firstLine="482"/>
        <w:rPr>
          <w:rFonts w:ascii="仿宋_GB2312" w:eastAsia="仿宋_GB2312" w:hAnsi="宋体" w:cs="宋体" w:hint="eastAsia"/>
          <w:b w:val="0"/>
        </w:rPr>
      </w:pPr>
      <w:bookmarkStart w:id="56" w:name="_Toc256154205"/>
      <w:bookmarkStart w:id="57" w:name="_Toc295670179"/>
      <w:bookmarkStart w:id="58" w:name="_Toc19111"/>
      <w:bookmarkStart w:id="59" w:name="_Toc24789"/>
      <w:bookmarkStart w:id="60" w:name="_Toc15523"/>
      <w:bookmarkStart w:id="61" w:name="_Toc9712"/>
      <w:bookmarkStart w:id="62" w:name="_Toc23313"/>
      <w:r w:rsidRPr="00FF55ED">
        <w:rPr>
          <w:rFonts w:ascii="仿宋_GB2312" w:eastAsia="仿宋_GB2312" w:hAnsi="宋体" w:cs="宋体" w:hint="eastAsia"/>
          <w:b w:val="0"/>
        </w:rPr>
        <w:t>3.4 评标结果</w:t>
      </w:r>
      <w:bookmarkEnd w:id="56"/>
      <w:bookmarkEnd w:id="57"/>
      <w:bookmarkEnd w:id="58"/>
      <w:bookmarkEnd w:id="59"/>
      <w:bookmarkEnd w:id="60"/>
      <w:bookmarkEnd w:id="61"/>
      <w:bookmarkEnd w:id="62"/>
    </w:p>
    <w:p w:rsidR="00FF55ED" w:rsidRPr="00FF55ED" w:rsidRDefault="00FF55ED" w:rsidP="00FF55ED">
      <w:pPr>
        <w:spacing w:line="360" w:lineRule="auto"/>
        <w:ind w:firstLineChars="200" w:firstLine="640"/>
        <w:rPr>
          <w:rFonts w:ascii="仿宋_GB2312" w:eastAsia="仿宋_GB2312" w:hAnsi="宋体" w:cs="宋体" w:hint="eastAsia"/>
          <w:sz w:val="32"/>
          <w:szCs w:val="32"/>
        </w:rPr>
      </w:pPr>
      <w:r w:rsidRPr="00FF55ED">
        <w:rPr>
          <w:rFonts w:ascii="仿宋_GB2312" w:eastAsia="仿宋_GB2312" w:hAnsi="宋体" w:cs="宋体" w:hint="eastAsia"/>
          <w:sz w:val="32"/>
          <w:szCs w:val="32"/>
        </w:rPr>
        <w:t xml:space="preserve">3.4.1 评标委员会按照综合得分由高到低的顺序推荐中标候选人。 </w:t>
      </w:r>
    </w:p>
    <w:p w:rsidR="002D2C07" w:rsidRPr="00FF55ED" w:rsidRDefault="00FF55ED" w:rsidP="00FF55ED">
      <w:pPr>
        <w:rPr>
          <w:rFonts w:ascii="仿宋_GB2312" w:eastAsia="仿宋_GB2312" w:hint="eastAsia"/>
          <w:sz w:val="32"/>
          <w:szCs w:val="32"/>
        </w:rPr>
      </w:pPr>
      <w:r w:rsidRPr="00FF55ED">
        <w:rPr>
          <w:rFonts w:ascii="仿宋_GB2312" w:eastAsia="仿宋_GB2312" w:hAnsi="宋体" w:cs="宋体" w:hint="eastAsia"/>
          <w:sz w:val="32"/>
          <w:szCs w:val="32"/>
        </w:rPr>
        <w:t>3.4.2 评标委员会完成评标后，向招标人提交</w:t>
      </w:r>
    </w:p>
    <w:sectPr w:rsidR="002D2C07" w:rsidRPr="00FF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D8" w:rsidRDefault="008C09D8" w:rsidP="00FF55ED">
      <w:r>
        <w:separator/>
      </w:r>
    </w:p>
  </w:endnote>
  <w:endnote w:type="continuationSeparator" w:id="0">
    <w:p w:rsidR="008C09D8" w:rsidRDefault="008C09D8" w:rsidP="00FF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D8" w:rsidRDefault="008C09D8" w:rsidP="00FF55ED">
      <w:r>
        <w:separator/>
      </w:r>
    </w:p>
  </w:footnote>
  <w:footnote w:type="continuationSeparator" w:id="0">
    <w:p w:rsidR="008C09D8" w:rsidRDefault="008C09D8" w:rsidP="00FF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5D93A"/>
    <w:multiLevelType w:val="singleLevel"/>
    <w:tmpl w:val="7BA5D93A"/>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DB"/>
    <w:rsid w:val="00001002"/>
    <w:rsid w:val="0003203A"/>
    <w:rsid w:val="00055ACE"/>
    <w:rsid w:val="00055D78"/>
    <w:rsid w:val="00060E54"/>
    <w:rsid w:val="00073ED1"/>
    <w:rsid w:val="00075195"/>
    <w:rsid w:val="0008336E"/>
    <w:rsid w:val="0009513B"/>
    <w:rsid w:val="000A1A57"/>
    <w:rsid w:val="000A7C25"/>
    <w:rsid w:val="000E006F"/>
    <w:rsid w:val="0013384F"/>
    <w:rsid w:val="00136AF4"/>
    <w:rsid w:val="00165ABA"/>
    <w:rsid w:val="00165AC9"/>
    <w:rsid w:val="0018076A"/>
    <w:rsid w:val="001A1D24"/>
    <w:rsid w:val="001A5B0E"/>
    <w:rsid w:val="001B268F"/>
    <w:rsid w:val="001C123A"/>
    <w:rsid w:val="001E27C7"/>
    <w:rsid w:val="002218C4"/>
    <w:rsid w:val="00235910"/>
    <w:rsid w:val="002415F3"/>
    <w:rsid w:val="00264B7B"/>
    <w:rsid w:val="00264EAA"/>
    <w:rsid w:val="00272962"/>
    <w:rsid w:val="00273BEE"/>
    <w:rsid w:val="0028465B"/>
    <w:rsid w:val="00293CC8"/>
    <w:rsid w:val="002B1D31"/>
    <w:rsid w:val="002B2F0A"/>
    <w:rsid w:val="002C1744"/>
    <w:rsid w:val="002C4A44"/>
    <w:rsid w:val="002D1E93"/>
    <w:rsid w:val="002D2C07"/>
    <w:rsid w:val="002D3DE9"/>
    <w:rsid w:val="002E3D3C"/>
    <w:rsid w:val="002E46C7"/>
    <w:rsid w:val="002F1FF8"/>
    <w:rsid w:val="002F4D13"/>
    <w:rsid w:val="00315357"/>
    <w:rsid w:val="00315D2D"/>
    <w:rsid w:val="00326163"/>
    <w:rsid w:val="0033774E"/>
    <w:rsid w:val="00346C7F"/>
    <w:rsid w:val="003539ED"/>
    <w:rsid w:val="00360F38"/>
    <w:rsid w:val="0036425F"/>
    <w:rsid w:val="00364263"/>
    <w:rsid w:val="00394066"/>
    <w:rsid w:val="003C58DB"/>
    <w:rsid w:val="003C6414"/>
    <w:rsid w:val="003E138D"/>
    <w:rsid w:val="003F74B1"/>
    <w:rsid w:val="00414ACD"/>
    <w:rsid w:val="00415CF6"/>
    <w:rsid w:val="0042321E"/>
    <w:rsid w:val="00430CCE"/>
    <w:rsid w:val="00431CFC"/>
    <w:rsid w:val="00434F05"/>
    <w:rsid w:val="00476C40"/>
    <w:rsid w:val="00480958"/>
    <w:rsid w:val="00484F77"/>
    <w:rsid w:val="004A2AFE"/>
    <w:rsid w:val="004B58DB"/>
    <w:rsid w:val="004B6D89"/>
    <w:rsid w:val="004C1AA1"/>
    <w:rsid w:val="004D20D8"/>
    <w:rsid w:val="004E4341"/>
    <w:rsid w:val="004F63CC"/>
    <w:rsid w:val="00501E44"/>
    <w:rsid w:val="005303BB"/>
    <w:rsid w:val="005776DD"/>
    <w:rsid w:val="00581C6C"/>
    <w:rsid w:val="00587A81"/>
    <w:rsid w:val="005B0DE6"/>
    <w:rsid w:val="005C4F50"/>
    <w:rsid w:val="005E2171"/>
    <w:rsid w:val="005E5485"/>
    <w:rsid w:val="0060037D"/>
    <w:rsid w:val="00600CF7"/>
    <w:rsid w:val="0060560B"/>
    <w:rsid w:val="0060735A"/>
    <w:rsid w:val="00611258"/>
    <w:rsid w:val="0061349A"/>
    <w:rsid w:val="00614022"/>
    <w:rsid w:val="00621C86"/>
    <w:rsid w:val="00622BEE"/>
    <w:rsid w:val="0062303E"/>
    <w:rsid w:val="00640947"/>
    <w:rsid w:val="00647C4C"/>
    <w:rsid w:val="00652E64"/>
    <w:rsid w:val="00661A9B"/>
    <w:rsid w:val="00674040"/>
    <w:rsid w:val="006811E5"/>
    <w:rsid w:val="006A4BBF"/>
    <w:rsid w:val="006A749A"/>
    <w:rsid w:val="006B6848"/>
    <w:rsid w:val="006C38E6"/>
    <w:rsid w:val="006C451E"/>
    <w:rsid w:val="006D2190"/>
    <w:rsid w:val="006D5065"/>
    <w:rsid w:val="00736894"/>
    <w:rsid w:val="00736EF1"/>
    <w:rsid w:val="00740944"/>
    <w:rsid w:val="00740E3A"/>
    <w:rsid w:val="007526A1"/>
    <w:rsid w:val="00754548"/>
    <w:rsid w:val="00761532"/>
    <w:rsid w:val="00780BD7"/>
    <w:rsid w:val="007B5431"/>
    <w:rsid w:val="007C453B"/>
    <w:rsid w:val="007E17BF"/>
    <w:rsid w:val="007E52A1"/>
    <w:rsid w:val="007E56D2"/>
    <w:rsid w:val="00812EED"/>
    <w:rsid w:val="0082110B"/>
    <w:rsid w:val="00850088"/>
    <w:rsid w:val="008557C8"/>
    <w:rsid w:val="00856C62"/>
    <w:rsid w:val="0085737D"/>
    <w:rsid w:val="00861BBD"/>
    <w:rsid w:val="00865AFF"/>
    <w:rsid w:val="008677B3"/>
    <w:rsid w:val="00872419"/>
    <w:rsid w:val="00874946"/>
    <w:rsid w:val="00874D1D"/>
    <w:rsid w:val="00883CA9"/>
    <w:rsid w:val="00886571"/>
    <w:rsid w:val="008A4785"/>
    <w:rsid w:val="008A65B9"/>
    <w:rsid w:val="008C015B"/>
    <w:rsid w:val="008C09D8"/>
    <w:rsid w:val="008E3825"/>
    <w:rsid w:val="008E77D3"/>
    <w:rsid w:val="008F279A"/>
    <w:rsid w:val="00913C00"/>
    <w:rsid w:val="00914E31"/>
    <w:rsid w:val="00925535"/>
    <w:rsid w:val="0093036C"/>
    <w:rsid w:val="00937B7E"/>
    <w:rsid w:val="00943BEB"/>
    <w:rsid w:val="00947AC2"/>
    <w:rsid w:val="00953208"/>
    <w:rsid w:val="009631F3"/>
    <w:rsid w:val="009770C4"/>
    <w:rsid w:val="00983124"/>
    <w:rsid w:val="009D14CA"/>
    <w:rsid w:val="009D4A35"/>
    <w:rsid w:val="009D7B3D"/>
    <w:rsid w:val="00A1142A"/>
    <w:rsid w:val="00A25336"/>
    <w:rsid w:val="00A325E0"/>
    <w:rsid w:val="00A33F56"/>
    <w:rsid w:val="00A34EEA"/>
    <w:rsid w:val="00A4402B"/>
    <w:rsid w:val="00A509DF"/>
    <w:rsid w:val="00A52991"/>
    <w:rsid w:val="00A6519D"/>
    <w:rsid w:val="00AD0AAA"/>
    <w:rsid w:val="00AE3E1B"/>
    <w:rsid w:val="00AE69BF"/>
    <w:rsid w:val="00AE7497"/>
    <w:rsid w:val="00AE7C40"/>
    <w:rsid w:val="00AF27C6"/>
    <w:rsid w:val="00B00B5D"/>
    <w:rsid w:val="00B030D6"/>
    <w:rsid w:val="00B04626"/>
    <w:rsid w:val="00B14D53"/>
    <w:rsid w:val="00B2328D"/>
    <w:rsid w:val="00B36F26"/>
    <w:rsid w:val="00B56449"/>
    <w:rsid w:val="00B71635"/>
    <w:rsid w:val="00B943DC"/>
    <w:rsid w:val="00BA5C97"/>
    <w:rsid w:val="00BB7921"/>
    <w:rsid w:val="00BC697D"/>
    <w:rsid w:val="00BF3154"/>
    <w:rsid w:val="00C07D0D"/>
    <w:rsid w:val="00C227AB"/>
    <w:rsid w:val="00C35E0E"/>
    <w:rsid w:val="00C4190B"/>
    <w:rsid w:val="00C42E20"/>
    <w:rsid w:val="00C439B5"/>
    <w:rsid w:val="00C527BF"/>
    <w:rsid w:val="00C679B7"/>
    <w:rsid w:val="00C76590"/>
    <w:rsid w:val="00C8437D"/>
    <w:rsid w:val="00CA31D1"/>
    <w:rsid w:val="00CC3CAA"/>
    <w:rsid w:val="00CE6CAA"/>
    <w:rsid w:val="00CF07EE"/>
    <w:rsid w:val="00CF088C"/>
    <w:rsid w:val="00CF465E"/>
    <w:rsid w:val="00CF6684"/>
    <w:rsid w:val="00D005C2"/>
    <w:rsid w:val="00D02038"/>
    <w:rsid w:val="00D02AB9"/>
    <w:rsid w:val="00D04E85"/>
    <w:rsid w:val="00D109E1"/>
    <w:rsid w:val="00D24F44"/>
    <w:rsid w:val="00D30378"/>
    <w:rsid w:val="00D35857"/>
    <w:rsid w:val="00D37DBD"/>
    <w:rsid w:val="00D5244A"/>
    <w:rsid w:val="00D52909"/>
    <w:rsid w:val="00D62283"/>
    <w:rsid w:val="00D83678"/>
    <w:rsid w:val="00D90392"/>
    <w:rsid w:val="00D9182D"/>
    <w:rsid w:val="00D926CA"/>
    <w:rsid w:val="00D956B6"/>
    <w:rsid w:val="00D977EC"/>
    <w:rsid w:val="00DA66CE"/>
    <w:rsid w:val="00DC6F78"/>
    <w:rsid w:val="00DD5E6A"/>
    <w:rsid w:val="00DF4686"/>
    <w:rsid w:val="00E015B7"/>
    <w:rsid w:val="00E057F7"/>
    <w:rsid w:val="00E063D5"/>
    <w:rsid w:val="00E12F71"/>
    <w:rsid w:val="00E1572F"/>
    <w:rsid w:val="00E215C6"/>
    <w:rsid w:val="00E2352E"/>
    <w:rsid w:val="00E25F02"/>
    <w:rsid w:val="00E44E89"/>
    <w:rsid w:val="00E7045F"/>
    <w:rsid w:val="00E805A0"/>
    <w:rsid w:val="00E83A93"/>
    <w:rsid w:val="00E86B90"/>
    <w:rsid w:val="00E96F48"/>
    <w:rsid w:val="00EA30E5"/>
    <w:rsid w:val="00EB587B"/>
    <w:rsid w:val="00EC2608"/>
    <w:rsid w:val="00ED12D9"/>
    <w:rsid w:val="00ED3B3C"/>
    <w:rsid w:val="00EE225A"/>
    <w:rsid w:val="00EE31D1"/>
    <w:rsid w:val="00EF5616"/>
    <w:rsid w:val="00F02735"/>
    <w:rsid w:val="00F14969"/>
    <w:rsid w:val="00F328DE"/>
    <w:rsid w:val="00F3504A"/>
    <w:rsid w:val="00F3555F"/>
    <w:rsid w:val="00F56651"/>
    <w:rsid w:val="00F644E1"/>
    <w:rsid w:val="00F655E6"/>
    <w:rsid w:val="00F742BC"/>
    <w:rsid w:val="00FA629E"/>
    <w:rsid w:val="00FB59E3"/>
    <w:rsid w:val="00FC66D1"/>
    <w:rsid w:val="00FD0267"/>
    <w:rsid w:val="00FD5DB5"/>
    <w:rsid w:val="00FE045C"/>
    <w:rsid w:val="00FF23FB"/>
    <w:rsid w:val="00FF55ED"/>
    <w:rsid w:val="00F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3B47"/>
  <w15:chartTrackingRefBased/>
  <w15:docId w15:val="{9131C747-25D6-4A04-AA69-5897609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ED"/>
    <w:pPr>
      <w:widowControl w:val="0"/>
      <w:jc w:val="both"/>
    </w:pPr>
    <w:rPr>
      <w:rFonts w:ascii="Calibri" w:eastAsia="宋体" w:hAnsi="Calibri" w:cs="Times New Roman"/>
      <w:szCs w:val="24"/>
    </w:rPr>
  </w:style>
  <w:style w:type="paragraph" w:styleId="2">
    <w:name w:val="heading 2"/>
    <w:basedOn w:val="a"/>
    <w:next w:val="a"/>
    <w:link w:val="20"/>
    <w:qFormat/>
    <w:rsid w:val="00FF55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FF55ED"/>
    <w:pPr>
      <w:keepNext/>
      <w:keepLines/>
      <w:spacing w:before="260" w:after="260" w:line="416" w:lineRule="auto"/>
      <w:outlineLvl w:val="2"/>
    </w:pPr>
    <w:rPr>
      <w:rFonts w:eastAsia="幼圆"/>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5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5ED"/>
    <w:rPr>
      <w:sz w:val="18"/>
      <w:szCs w:val="18"/>
    </w:rPr>
  </w:style>
  <w:style w:type="paragraph" w:styleId="a5">
    <w:name w:val="footer"/>
    <w:basedOn w:val="a"/>
    <w:link w:val="a6"/>
    <w:uiPriority w:val="99"/>
    <w:unhideWhenUsed/>
    <w:rsid w:val="00FF55ED"/>
    <w:pPr>
      <w:tabs>
        <w:tab w:val="center" w:pos="4153"/>
        <w:tab w:val="right" w:pos="8306"/>
      </w:tabs>
      <w:snapToGrid w:val="0"/>
      <w:jc w:val="left"/>
    </w:pPr>
    <w:rPr>
      <w:sz w:val="18"/>
      <w:szCs w:val="18"/>
    </w:rPr>
  </w:style>
  <w:style w:type="character" w:customStyle="1" w:styleId="a6">
    <w:name w:val="页脚 字符"/>
    <w:basedOn w:val="a0"/>
    <w:link w:val="a5"/>
    <w:uiPriority w:val="99"/>
    <w:rsid w:val="00FF55ED"/>
    <w:rPr>
      <w:sz w:val="18"/>
      <w:szCs w:val="18"/>
    </w:rPr>
  </w:style>
  <w:style w:type="character" w:customStyle="1" w:styleId="20">
    <w:name w:val="标题 2 字符"/>
    <w:basedOn w:val="a0"/>
    <w:link w:val="2"/>
    <w:rsid w:val="00FF55ED"/>
    <w:rPr>
      <w:rFonts w:ascii="Arial" w:eastAsia="黑体" w:hAnsi="Arial" w:cs="Times New Roman"/>
      <w:b/>
      <w:bCs/>
      <w:sz w:val="32"/>
      <w:szCs w:val="32"/>
    </w:rPr>
  </w:style>
  <w:style w:type="character" w:customStyle="1" w:styleId="30">
    <w:name w:val="标题 3 字符"/>
    <w:basedOn w:val="a0"/>
    <w:link w:val="3"/>
    <w:rsid w:val="00FF55ED"/>
    <w:rPr>
      <w:rFonts w:ascii="Calibri" w:eastAsia="幼圆" w:hAnsi="Calibri" w:cs="Times New Roman"/>
      <w:b/>
      <w:bCs/>
      <w:sz w:val="32"/>
      <w:szCs w:val="32"/>
    </w:rPr>
  </w:style>
  <w:style w:type="paragraph" w:customStyle="1" w:styleId="Default">
    <w:name w:val="Default"/>
    <w:rsid w:val="00FF55ED"/>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10</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25787</dc:creator>
  <cp:keywords/>
  <dc:description/>
  <cp:lastModifiedBy>25787</cp:lastModifiedBy>
  <cp:revision>2</cp:revision>
  <dcterms:created xsi:type="dcterms:W3CDTF">2021-03-25T09:27:00Z</dcterms:created>
  <dcterms:modified xsi:type="dcterms:W3CDTF">2021-03-26T00:47:00Z</dcterms:modified>
</cp:coreProperties>
</file>